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Порядка проведения проверок инвестиционных проектов, финансируемых полностью или частично за счет средств бюджета городского округа Сухой Лог, на предмет эффективности использования средств местного бюджета, направляемых на капитальные вложения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01/07/01-21/00006916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"http://regulation.midural.ru/projects#npa=6916"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http://regulation.midural.ru/projects#npa=6916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27.01.2021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11.03.2021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12.03.2021 в 15:44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