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DB" w:rsidRDefault="00FB6BA2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70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BDB" w:rsidRDefault="007D0BDB">
      <w:pPr>
        <w:sectPr w:rsidR="007D0BDB">
          <w:pgSz w:w="11909" w:h="16830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W w:w="10284" w:type="dxa"/>
        <w:tblInd w:w="-360" w:type="dxa"/>
        <w:tblCellMar>
          <w:top w:w="0" w:type="dxa"/>
          <w:left w:w="12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495"/>
        <w:gridCol w:w="1913"/>
        <w:gridCol w:w="1915"/>
        <w:gridCol w:w="3401"/>
        <w:gridCol w:w="1560"/>
      </w:tblGrid>
      <w:tr w:rsidR="007D0BDB" w:rsidRPr="00FB6BA2">
        <w:trPr>
          <w:trHeight w:val="189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1" w:line="326" w:lineRule="auto"/>
              <w:ind w:left="547" w:right="47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lastRenderedPageBreak/>
              <w:t xml:space="preserve">ОПИСАНИЕ МЕСТОПОЛОЖЕНИЯ ГРАНИЦ ПУБЛИЧНОГО </w:t>
            </w:r>
            <w:proofErr w:type="gramStart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СЕРВИТУТА  ПО</w:t>
            </w:r>
            <w:proofErr w:type="gram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 ОБЪЕКТУ  </w:t>
            </w:r>
          </w:p>
          <w:p w:rsidR="007D0BDB" w:rsidRPr="00FB6BA2" w:rsidRDefault="00FB6BA2">
            <w:pPr>
              <w:spacing w:after="62" w:line="257" w:lineRule="auto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Отпайка ВЛИ-0,4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кВ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 от ВЛИ-0,4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кВ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 Быт 2 ул. Ключевая от ТП-1370, до границ земельного участка заявителя (электроснабжение жилого дома, находящегося по адресу: Свердловская </w:t>
            </w:r>
          </w:p>
          <w:p w:rsidR="007D0BDB" w:rsidRPr="00FB6BA2" w:rsidRDefault="00FB6BA2">
            <w:pPr>
              <w:spacing w:after="79"/>
              <w:ind w:right="4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область, ГО Сухой Лог, д.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Глядены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, ул. Южная, д. № </w:t>
            </w:r>
            <w:proofErr w:type="gramStart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2)(</w:t>
            </w:r>
            <w:proofErr w:type="gram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0,1 км) </w:t>
            </w:r>
          </w:p>
          <w:p w:rsidR="007D0BDB" w:rsidRPr="00FB6BA2" w:rsidRDefault="00FB6BA2">
            <w:pPr>
              <w:spacing w:after="29"/>
              <w:ind w:right="4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Свердловская область, городской округ Сухой Лог, д.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Глядены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 </w:t>
            </w:r>
          </w:p>
          <w:p w:rsidR="007D0BDB" w:rsidRPr="00FB6BA2" w:rsidRDefault="00FB6BA2">
            <w:pPr>
              <w:spacing w:after="0"/>
              <w:ind w:right="4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(наименование объекта) </w:t>
            </w:r>
          </w:p>
        </w:tc>
      </w:tr>
      <w:tr w:rsidR="007D0BDB" w:rsidRPr="00FB6BA2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485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16"/>
              </w:rPr>
              <w:t xml:space="preserve"> </w:t>
            </w:r>
          </w:p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Сведения о местоположении границ объекта</w:t>
            </w:r>
          </w:p>
        </w:tc>
      </w:tr>
      <w:tr w:rsidR="007D0BDB" w:rsidRPr="00FB6BA2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1. Система координат </w:t>
            </w:r>
            <w:r w:rsidRPr="00FB6BA2">
              <w:rPr>
                <w:rFonts w:ascii="Liberation Serif" w:eastAsia="Times New Roman" w:hAnsi="Liberation Serif" w:cs="Liberation Serif"/>
                <w:b/>
                <w:sz w:val="24"/>
                <w:u w:val="single" w:color="000000"/>
              </w:rPr>
              <w:t xml:space="preserve">МСК-66 (зона </w:t>
            </w:r>
            <w:proofErr w:type="gramStart"/>
            <w:r w:rsidRPr="00FB6BA2">
              <w:rPr>
                <w:rFonts w:ascii="Liberation Serif" w:eastAsia="Times New Roman" w:hAnsi="Liberation Serif" w:cs="Liberation Serif"/>
                <w:b/>
                <w:sz w:val="24"/>
                <w:u w:val="single" w:color="000000"/>
              </w:rPr>
              <w:t>1)</w:t>
            </w: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>_</w:t>
            </w:r>
            <w:proofErr w:type="gramEnd"/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_________________________________________ </w:t>
            </w:r>
          </w:p>
        </w:tc>
      </w:tr>
      <w:tr w:rsidR="007D0BDB" w:rsidRPr="00FB6BA2">
        <w:trPr>
          <w:trHeight w:val="406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4"/>
              </w:rPr>
              <w:t xml:space="preserve">2. Сведения о характерных точках границ объекта </w:t>
            </w:r>
          </w:p>
        </w:tc>
      </w:tr>
      <w:tr w:rsidR="007D0BDB" w:rsidRPr="00FB6BA2">
        <w:trPr>
          <w:trHeight w:val="240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BDB" w:rsidRPr="00FB6BA2" w:rsidRDefault="00FB6BA2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Обозначение характерных точек границ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4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Координаты, м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BDB" w:rsidRPr="00FB6BA2" w:rsidRDefault="00FB6BA2">
            <w:pPr>
              <w:spacing w:after="0"/>
              <w:ind w:left="75" w:hanging="7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Метод определения координат и средняя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>квадратическая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 погрешность положения характерной точки (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>М</w:t>
            </w:r>
            <w:r w:rsidRPr="00FB6BA2">
              <w:rPr>
                <w:rFonts w:ascii="Liberation Serif" w:eastAsia="Times New Roman" w:hAnsi="Liberation Serif" w:cs="Liberation Serif"/>
                <w:b/>
                <w:sz w:val="20"/>
                <w:vertAlign w:val="subscript"/>
              </w:rPr>
              <w:t>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), м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 w:line="272" w:lineRule="auto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Описание закрепления точки на </w:t>
            </w:r>
          </w:p>
          <w:p w:rsidR="007D0BDB" w:rsidRPr="00FB6BA2" w:rsidRDefault="00FB6BA2">
            <w:pPr>
              <w:spacing w:after="48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местности </w:t>
            </w:r>
          </w:p>
          <w:p w:rsidR="007D0BDB" w:rsidRPr="00FB6BA2" w:rsidRDefault="00FB6BA2">
            <w:pPr>
              <w:spacing w:after="0"/>
              <w:ind w:left="5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(при наличии) </w:t>
            </w:r>
          </w:p>
        </w:tc>
      </w:tr>
      <w:tr w:rsidR="007D0BDB" w:rsidRPr="00FB6BA2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7D0B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BDB" w:rsidRPr="00FB6BA2" w:rsidRDefault="00FB6BA2">
            <w:pPr>
              <w:spacing w:after="0"/>
              <w:ind w:right="5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7D0BD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7D0BDB">
            <w:pPr>
              <w:rPr>
                <w:rFonts w:ascii="Liberation Serif" w:hAnsi="Liberation Serif" w:cs="Liberation Serif"/>
              </w:rPr>
            </w:pPr>
          </w:p>
        </w:tc>
      </w:tr>
      <w:tr w:rsidR="007D0BDB" w:rsidRPr="00FB6BA2">
        <w:trPr>
          <w:trHeight w:val="24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2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6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4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2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9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0"/>
              </w:rPr>
              <w:t xml:space="preserve">5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406434.52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1611955.74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FB6BA2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406431.26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1611958.34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406430.64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1611957.56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406433.90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1611954.96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406434.52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1611955.74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>=0.1</w:t>
            </w:r>
            <w:r w:rsidRPr="00FB6BA2">
              <w:rPr>
                <w:rFonts w:ascii="Liberation Serif" w:eastAsia="Times New Roman" w:hAnsi="Liberation Serif" w:cs="Liberation Serif"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406457.43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1611936.61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406456.80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1611935.85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406457.55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1611935.21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406458.19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1611935.97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406457.43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1611936.61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406484.95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1611912.79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406484.47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1611916.87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406483.47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1611916.75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406483.95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1611912.67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406484.95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1611912.79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406501.99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1611925.45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406501.15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1611924.89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>406501.72</w:t>
            </w:r>
            <w:bookmarkStart w:id="0" w:name="_GoBack"/>
            <w:bookmarkEnd w:id="0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1611924.06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406502.55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1611924.61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406501.99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1611925.45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5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17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406522.82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1611937.96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406522.22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1611938.76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406518.82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1611936.25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0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20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406519.42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1611935.45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  <w:tr w:rsidR="007D0BDB" w:rsidRPr="00FB6BA2">
        <w:trPr>
          <w:trHeight w:val="310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3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406522.82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50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1611937.96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left="62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Геодезический метод; </w:t>
            </w:r>
            <w:proofErr w:type="spellStart"/>
            <w:r w:rsidRPr="00FB6BA2">
              <w:rPr>
                <w:rFonts w:ascii="Liberation Serif" w:eastAsia="Times New Roman" w:hAnsi="Liberation Serif" w:cs="Liberation Serif"/>
                <w:sz w:val="24"/>
              </w:rPr>
              <w:t>Mt</w:t>
            </w:r>
            <w:proofErr w:type="spellEnd"/>
            <w:r w:rsidRPr="00FB6BA2">
              <w:rPr>
                <w:rFonts w:ascii="Liberation Serif" w:eastAsia="Times New Roman" w:hAnsi="Liberation Serif" w:cs="Liberation Serif"/>
                <w:sz w:val="24"/>
              </w:rPr>
              <w:t xml:space="preserve">=0.1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DB" w:rsidRPr="00FB6BA2" w:rsidRDefault="00FB6BA2">
            <w:pPr>
              <w:spacing w:after="0"/>
              <w:ind w:right="48"/>
              <w:jc w:val="center"/>
              <w:rPr>
                <w:rFonts w:ascii="Liberation Serif" w:hAnsi="Liberation Serif" w:cs="Liberation Serif"/>
              </w:rPr>
            </w:pPr>
            <w:r w:rsidRPr="00FB6BA2">
              <w:rPr>
                <w:rFonts w:ascii="Liberation Serif" w:eastAsia="Times New Roman" w:hAnsi="Liberation Serif" w:cs="Liberation Serif"/>
                <w:b/>
                <w:sz w:val="26"/>
              </w:rPr>
              <w:t xml:space="preserve">- </w:t>
            </w:r>
          </w:p>
        </w:tc>
      </w:tr>
    </w:tbl>
    <w:p w:rsidR="007D0BDB" w:rsidRDefault="007D0BDB" w:rsidP="00FB6BA2">
      <w:pPr>
        <w:spacing w:after="0"/>
      </w:pPr>
    </w:p>
    <w:sectPr w:rsidR="007D0BDB" w:rsidSect="00FB6BA2">
      <w:pgSz w:w="11906" w:h="16841"/>
      <w:pgMar w:top="1001" w:right="144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B"/>
    <w:rsid w:val="007D0BDB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73331-B401-4C14-841B-A17BE619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NL</cp:lastModifiedBy>
  <cp:revision>2</cp:revision>
  <dcterms:created xsi:type="dcterms:W3CDTF">2024-03-22T11:23:00Z</dcterms:created>
  <dcterms:modified xsi:type="dcterms:W3CDTF">2024-03-22T11:23:00Z</dcterms:modified>
</cp:coreProperties>
</file>